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50B95" w:rsidRDefault="00450B95" w:rsidP="000045D9">
      <w:pPr>
        <w:pStyle w:val="ReturnAddress"/>
        <w:framePr w:h="1064" w:hRule="exact" w:wrap="notBeside"/>
        <w:rPr>
          <w:rFonts w:ascii="Arial" w:hAnsi="Arial"/>
          <w:sz w:val="18"/>
        </w:rPr>
      </w:pPr>
      <w:r>
        <w:rPr>
          <w:rFonts w:ascii="Arial" w:hAnsi="Arial"/>
          <w:sz w:val="18"/>
        </w:rPr>
        <w:t>P.O. Box 2124</w:t>
      </w:r>
    </w:p>
    <w:p w:rsidR="00450B95" w:rsidRDefault="00450B95" w:rsidP="000045D9">
      <w:pPr>
        <w:pStyle w:val="ReturnAddress"/>
        <w:framePr w:h="1064" w:hRule="exact" w:wrap="notBeside"/>
        <w:rPr>
          <w:rFonts w:ascii="Arial" w:hAnsi="Arial"/>
          <w:sz w:val="18"/>
        </w:rPr>
      </w:pPr>
      <w:r>
        <w:rPr>
          <w:rFonts w:ascii="Arial" w:hAnsi="Arial"/>
          <w:sz w:val="18"/>
        </w:rPr>
        <w:t>So. Portland, Maine 04116</w:t>
      </w:r>
    </w:p>
    <w:p w:rsidR="00450B95" w:rsidRDefault="00450B95" w:rsidP="000045D9">
      <w:pPr>
        <w:pStyle w:val="ReturnAddress"/>
        <w:framePr w:h="1064" w:hRule="exact" w:wrap="notBeside"/>
        <w:rPr>
          <w:rFonts w:ascii="Arial" w:hAnsi="Arial"/>
          <w:sz w:val="18"/>
        </w:rPr>
      </w:pPr>
      <w:r>
        <w:rPr>
          <w:rFonts w:ascii="Arial" w:hAnsi="Arial"/>
          <w:sz w:val="18"/>
        </w:rPr>
        <w:t>Ph: (207) 767-7615</w:t>
      </w:r>
    </w:p>
    <w:p w:rsidR="00450B95" w:rsidRDefault="00450B95" w:rsidP="000045D9">
      <w:pPr>
        <w:pStyle w:val="ReturnAddress"/>
        <w:framePr w:h="1064" w:hRule="exact" w:wrap="notBeside"/>
        <w:rPr>
          <w:rFonts w:ascii="Arial" w:hAnsi="Arial" w:cs="Arial"/>
          <w:sz w:val="18"/>
          <w:szCs w:val="18"/>
        </w:rPr>
      </w:pPr>
      <w:r>
        <w:rPr>
          <w:rFonts w:ascii="Arial" w:hAnsi="Arial"/>
          <w:sz w:val="18"/>
        </w:rPr>
        <w:t xml:space="preserve">e-mail </w:t>
      </w:r>
      <w:hyperlink r:id="rId5" w:history="1">
        <w:r w:rsidR="000045D9" w:rsidRPr="0097752C">
          <w:rPr>
            <w:rStyle w:val="Hyperlink"/>
            <w:rFonts w:ascii="Arial" w:hAnsi="Arial" w:cs="Arial"/>
            <w:sz w:val="18"/>
            <w:szCs w:val="18"/>
          </w:rPr>
          <w:t>info@ctamaine.org</w:t>
        </w:r>
      </w:hyperlink>
    </w:p>
    <w:p w:rsidR="00450B95" w:rsidRDefault="00450B95" w:rsidP="000045D9">
      <w:pPr>
        <w:pStyle w:val="ReturnAddress"/>
        <w:framePr w:h="1064" w:hRule="exact" w:wrap="notBeside"/>
        <w:rPr>
          <w:rFonts w:ascii="Arial" w:hAnsi="Arial"/>
          <w:sz w:val="18"/>
        </w:rPr>
      </w:pPr>
      <w:r>
        <w:rPr>
          <w:rFonts w:ascii="Arial" w:hAnsi="Arial"/>
          <w:sz w:val="18"/>
        </w:rPr>
        <w:t>www.ctamaine.org</w:t>
      </w:r>
    </w:p>
    <w:p w:rsidR="00450B95" w:rsidRDefault="00450B95" w:rsidP="000045D9">
      <w:pPr>
        <w:pStyle w:val="ReturnAddress"/>
        <w:framePr w:h="1064" w:hRule="exact" w:wrap="notBeside"/>
      </w:pPr>
    </w:p>
    <w:p w:rsidR="00450B95" w:rsidRDefault="00450B95" w:rsidP="00F847BF">
      <w:pPr>
        <w:pStyle w:val="CompanyName"/>
        <w:spacing w:after="120"/>
        <w:ind w:left="835"/>
        <w:rPr>
          <w:rFonts w:ascii="Arial" w:hAnsi="Arial"/>
          <w:sz w:val="22"/>
        </w:rPr>
      </w:pPr>
      <w:bookmarkStart w:id="0" w:name="xgraphic"/>
      <w:r>
        <w:rPr>
          <w:b/>
          <w:i/>
          <w:noProof/>
          <w:sz w:val="44"/>
        </w:rPr>
        <w:pict>
          <v:rect id="_x0000_s1027" style="position:absolute;left:0;text-align:left;margin-left:36pt;margin-top:698.4pt;width:275.75pt;height:48pt;z-index:-251659776;mso-position-horizontal-relative:page;mso-position-vertical-relative:page" o:allowincell="f" fillcolor="#dfdfdf" stroked="f" strokecolor="#e5e5e5">
            <w10:wrap anchorx="page" anchory="page"/>
            <w10:anchorlock/>
          </v:rect>
        </w:pict>
      </w:r>
      <w:r>
        <w:rPr>
          <w:b/>
          <w:i/>
          <w:noProof/>
          <w:sz w:val="44"/>
        </w:rPr>
        <w:pict>
          <v:rect id="_x0000_s1028" style="position:absolute;left:0;text-align:left;margin-left:295.2pt;margin-top:703.2pt;width:265.45pt;height:28.85pt;z-index:-251658752;mso-position-horizontal-relative:page;mso-position-vertical-relative:page" o:allowincell="f" filled="f" stroked="f" strokecolor="white" strokeweight="6pt">
            <v:textbox inset="0,0,0,0">
              <w:txbxContent>
                <w:p w:rsidR="00450B95" w:rsidRDefault="00450B95">
                  <w:pPr>
                    <w:ind w:left="2"/>
                    <w:rPr>
                      <w:spacing w:val="2"/>
                    </w:rPr>
                  </w:pPr>
                  <w:r>
                    <w:rPr>
                      <w:spacing w:val="2"/>
                      <w:sz w:val="40"/>
                    </w:rPr>
                    <w:t xml:space="preserve">. . . . . .  . . . . . . . . . . . . . . . . . . . . .  </w:t>
                  </w:r>
                </w:p>
              </w:txbxContent>
            </v:textbox>
            <w10:wrap anchorx="page" anchory="page"/>
            <w10:anchorlock/>
          </v:rect>
        </w:pict>
      </w:r>
      <w:r>
        <w:rPr>
          <w:b/>
          <w:i/>
          <w:sz w:val="44"/>
        </w:rPr>
        <w:pict>
          <v:rect id="_x0000_s1029" style="position:absolute;left:0;text-align:left;margin-left:48pt;margin-top:708pt;width:254.45pt;height:30pt;z-index:-251657728;mso-position-horizontal-relative:page;mso-position-vertical-relative:page" o:allowincell="f" filled="f" stroked="f">
            <v:textbox inset="0,0,0,0">
              <w:txbxContent>
                <w:p w:rsidR="00450B95" w:rsidRDefault="00450B95">
                  <w:pPr>
                    <w:spacing w:line="240" w:lineRule="atLeast"/>
                    <w:ind w:left="2" w:right="-10"/>
                    <w:rPr>
                      <w:i/>
                      <w:sz w:val="24"/>
                    </w:rPr>
                  </w:pPr>
                  <w:r>
                    <w:rPr>
                      <w:b/>
                      <w:i/>
                      <w:sz w:val="28"/>
                    </w:rPr>
                    <w:t>Serving Community Television in Maine</w:t>
                  </w:r>
                  <w:r>
                    <w:rPr>
                      <w:i/>
                      <w:sz w:val="24"/>
                    </w:rPr>
                    <w:t xml:space="preserve"> </w:t>
                  </w:r>
                </w:p>
              </w:txbxContent>
            </v:textbox>
            <w10:wrap anchorx="page" anchory="page"/>
            <w10:anchorlock/>
          </v:rect>
        </w:pict>
      </w:r>
      <w:r>
        <w:rPr>
          <w:b/>
          <w:i/>
          <w:sz w:val="44"/>
        </w:rPr>
        <w:pict>
          <v:rect id="_x0000_s1026" style="position:absolute;left:0;text-align:left;margin-left:35.35pt;margin-top:96pt;width:540pt;height:24pt;z-index:-251660800;mso-position-horizontal-relative:page;mso-position-vertical-relative:page" o:allowincell="f" fillcolor="#dfdfdf" stroked="f" strokecolor="#e5e5e5">
            <w10:wrap anchorx="page" anchory="page"/>
            <w10:anchorlock/>
          </v:rect>
        </w:pict>
      </w:r>
      <w:r>
        <w:rPr>
          <w:b/>
          <w:i/>
          <w:sz w:val="44"/>
        </w:rPr>
        <w:pict>
          <v:rect id="_x0000_s1030" style="position:absolute;left:0;text-align:left;margin-left:132.35pt;margin-top:33pt;width:8.4pt;height:57pt;z-index:-251656704;mso-position-horizontal-relative:page;mso-position-vertical-relative:page" o:allowincell="f" filled="f" stroked="f" strokecolor="white" strokeweight="6pt">
            <v:textbox inset="0,0,0,0">
              <w:txbxContent>
                <w:p w:rsidR="00450B95" w:rsidRDefault="00450B95">
                  <w:pPr>
                    <w:spacing w:line="130" w:lineRule="exact"/>
                    <w:ind w:left="2"/>
                    <w:rPr>
                      <w:sz w:val="40"/>
                    </w:rPr>
                  </w:pPr>
                  <w:r>
                    <w:rPr>
                      <w:sz w:val="40"/>
                    </w:rPr>
                    <w:t>.</w:t>
                  </w:r>
                </w:p>
                <w:p w:rsidR="00450B95" w:rsidRDefault="00450B95">
                  <w:pPr>
                    <w:spacing w:line="130" w:lineRule="exact"/>
                    <w:ind w:left="2"/>
                    <w:rPr>
                      <w:sz w:val="40"/>
                    </w:rPr>
                  </w:pPr>
                  <w:r>
                    <w:rPr>
                      <w:sz w:val="40"/>
                    </w:rPr>
                    <w:t>.</w:t>
                  </w:r>
                </w:p>
                <w:p w:rsidR="00450B95" w:rsidRDefault="00450B95">
                  <w:pPr>
                    <w:spacing w:line="130" w:lineRule="exact"/>
                    <w:ind w:left="2"/>
                    <w:rPr>
                      <w:sz w:val="40"/>
                    </w:rPr>
                  </w:pPr>
                  <w:r>
                    <w:rPr>
                      <w:sz w:val="40"/>
                    </w:rPr>
                    <w:t>.</w:t>
                  </w:r>
                </w:p>
                <w:p w:rsidR="00450B95" w:rsidRDefault="00450B95">
                  <w:pPr>
                    <w:spacing w:line="130" w:lineRule="exact"/>
                    <w:ind w:left="2"/>
                    <w:rPr>
                      <w:sz w:val="40"/>
                    </w:rPr>
                  </w:pPr>
                  <w:r>
                    <w:rPr>
                      <w:sz w:val="40"/>
                    </w:rPr>
                    <w:t>.</w:t>
                  </w:r>
                </w:p>
                <w:p w:rsidR="00450B95" w:rsidRDefault="00450B95">
                  <w:pPr>
                    <w:spacing w:line="130" w:lineRule="exact"/>
                    <w:ind w:left="2"/>
                    <w:rPr>
                      <w:sz w:val="40"/>
                    </w:rPr>
                  </w:pPr>
                  <w:r>
                    <w:rPr>
                      <w:sz w:val="40"/>
                    </w:rPr>
                    <w:t>.</w:t>
                  </w:r>
                </w:p>
                <w:p w:rsidR="00450B95" w:rsidRDefault="00450B95">
                  <w:pPr>
                    <w:spacing w:line="130" w:lineRule="exact"/>
                    <w:ind w:left="2"/>
                    <w:rPr>
                      <w:sz w:val="40"/>
                    </w:rPr>
                  </w:pPr>
                  <w:r>
                    <w:rPr>
                      <w:sz w:val="40"/>
                    </w:rPr>
                    <w:t>.</w:t>
                  </w:r>
                </w:p>
                <w:p w:rsidR="00450B95" w:rsidRDefault="00450B95">
                  <w:pPr>
                    <w:spacing w:line="130" w:lineRule="exact"/>
                    <w:ind w:left="2"/>
                    <w:rPr>
                      <w:sz w:val="40"/>
                    </w:rPr>
                  </w:pPr>
                  <w:r>
                    <w:rPr>
                      <w:sz w:val="40"/>
                    </w:rPr>
                    <w:t>.</w:t>
                  </w:r>
                </w:p>
                <w:p w:rsidR="00450B95" w:rsidRDefault="00450B95">
                  <w:pPr>
                    <w:spacing w:line="130" w:lineRule="exact"/>
                    <w:ind w:left="2"/>
                    <w:rPr>
                      <w:sz w:val="40"/>
                    </w:rPr>
                  </w:pPr>
                  <w:r>
                    <w:rPr>
                      <w:sz w:val="40"/>
                    </w:rPr>
                    <w:t>.</w:t>
                  </w:r>
                </w:p>
                <w:p w:rsidR="00450B95" w:rsidRDefault="00450B95">
                  <w:pPr>
                    <w:spacing w:line="130" w:lineRule="exact"/>
                    <w:ind w:left="2"/>
                  </w:pPr>
                  <w:r>
                    <w:rPr>
                      <w:sz w:val="40"/>
                    </w:rPr>
                    <w:t>.</w:t>
                  </w:r>
                </w:p>
              </w:txbxContent>
            </v:textbox>
            <w10:wrap anchorx="page" anchory="page"/>
            <w10:anchorlock/>
          </v:rect>
        </w:pict>
      </w:r>
      <w:bookmarkEnd w:id="0"/>
      <w:r>
        <w:rPr>
          <w:b/>
          <w:i/>
          <w:sz w:val="44"/>
        </w:rPr>
        <w:t>Community Television Association of Maine</w:t>
      </w:r>
    </w:p>
    <w:p w:rsidR="00F847BF" w:rsidRDefault="00F847BF" w:rsidP="00F847BF">
      <w:pPr>
        <w:pStyle w:val="NormalWeb"/>
        <w:rPr>
          <w:rFonts w:ascii="Arial" w:hAnsi="Arial" w:cs="Arial"/>
          <w:b/>
          <w:bCs/>
        </w:rPr>
      </w:pPr>
    </w:p>
    <w:p w:rsidR="001B3A74" w:rsidRPr="001B3A74" w:rsidRDefault="001B3A74" w:rsidP="001B3A74">
      <w:pPr>
        <w:ind w:left="0"/>
        <w:rPr>
          <w:b/>
          <w:sz w:val="24"/>
          <w:szCs w:val="24"/>
        </w:rPr>
      </w:pPr>
      <w:r w:rsidRPr="001B3A74">
        <w:rPr>
          <w:b/>
          <w:sz w:val="24"/>
          <w:szCs w:val="24"/>
        </w:rPr>
        <w:t>FCC - Updated PEG Guidelines for Municipal Officials. 6-1-11  (Summary)</w:t>
      </w:r>
    </w:p>
    <w:p w:rsidR="001B3A74" w:rsidRDefault="001B3A74" w:rsidP="001B3A74">
      <w:pPr>
        <w:ind w:left="0"/>
      </w:pPr>
    </w:p>
    <w:p w:rsidR="001B3A74" w:rsidRDefault="001B3A74" w:rsidP="001B3A74">
      <w:pPr>
        <w:ind w:left="0"/>
      </w:pPr>
      <w:r>
        <w:t>The Federal Communications Commission (FCC) has issued an updated guidance document detailing the control local authorities have to require cable companies “to set aside channels for public, educational or governmental (PEG) use.”</w:t>
      </w:r>
      <w:r>
        <w:br/>
      </w:r>
      <w:r>
        <w:br/>
        <w:t>The document says “pursuant to Section 611 of the Communications Act” of 1934—which was amended by the Cable Communications Act of 1984 (PL 98-549) to include the PEG channel provision—“local franchising authorities may require cable operators to set aside channels” for PEG use.</w:t>
      </w:r>
      <w:r>
        <w:br/>
      </w:r>
      <w:r>
        <w:br/>
        <w:t>However, PEG channels are not mandated by federal law, says the guidance document. “Rather they (PEG channels) are a right given to the franchising authority, which it may choose to exercise,” it says.</w:t>
      </w:r>
      <w:r>
        <w:br/>
      </w:r>
      <w:r>
        <w:br/>
        <w:t>“The decision whether to require the cable operator to carry PEG channels is up to the local franchising authority. If the franchise authority does require PEG channels, that requirement will be set out in the franchise agreement between the franchising authority and the cable operator,” the FCC document says.</w:t>
      </w:r>
      <w:r>
        <w:br/>
      </w:r>
      <w:r>
        <w:br/>
        <w:t>In addition, franchising authorities might also require cable operators “to set aside channels for educational or governmental use on institutional networks, i.e., channels that are generally available only to institutions such as schools, libraries, or government offices,” the document says.</w:t>
      </w:r>
      <w:r>
        <w:br/>
      </w:r>
      <w:r>
        <w:br/>
        <w:t xml:space="preserve">Along with providing channels for PEG stations, “franchising authorities may require cable operators to provide services, facilities or equipment for the use of PEG channels,” the document says. </w:t>
      </w:r>
      <w:r>
        <w:br/>
      </w:r>
      <w:r>
        <w:br/>
        <w:t xml:space="preserve">The document also says local franchising authorities or cable operators may adopt “non-content-based rules governing the use of PEG channels.” Such rules may cover: </w:t>
      </w:r>
    </w:p>
    <w:p w:rsidR="001B3A74" w:rsidRDefault="001B3A74" w:rsidP="001B3A74">
      <w:pPr>
        <w:numPr>
          <w:ilvl w:val="0"/>
          <w:numId w:val="1"/>
        </w:numPr>
        <w:spacing w:before="100" w:beforeAutospacing="1" w:after="100" w:afterAutospacing="1"/>
        <w:ind w:left="0" w:right="0" w:firstLine="0"/>
      </w:pPr>
      <w:r>
        <w:t xml:space="preserve">The allocation of broadcast time among competing applicants on a reasonable basis, other than the content of </w:t>
      </w:r>
      <w:r>
        <w:tab/>
        <w:t>their programming</w:t>
      </w:r>
    </w:p>
    <w:p w:rsidR="001B3A74" w:rsidRDefault="001B3A74" w:rsidP="001B3A74">
      <w:pPr>
        <w:numPr>
          <w:ilvl w:val="0"/>
          <w:numId w:val="1"/>
        </w:numPr>
        <w:spacing w:before="100" w:beforeAutospacing="1" w:after="100" w:afterAutospacing="1"/>
        <w:ind w:left="0" w:right="0" w:firstLine="0"/>
      </w:pPr>
      <w:r>
        <w:t xml:space="preserve">Minimum production standards </w:t>
      </w:r>
    </w:p>
    <w:p w:rsidR="001B3A74" w:rsidRDefault="001B3A74" w:rsidP="001B3A74">
      <w:pPr>
        <w:numPr>
          <w:ilvl w:val="0"/>
          <w:numId w:val="1"/>
        </w:numPr>
        <w:spacing w:before="100" w:beforeAutospacing="1" w:after="100" w:afterAutospacing="1"/>
        <w:ind w:left="0" w:right="0" w:firstLine="0"/>
      </w:pPr>
      <w:r>
        <w:t>A user-training requirement</w:t>
      </w:r>
    </w:p>
    <w:p w:rsidR="00450B95" w:rsidRDefault="001B3A74" w:rsidP="001B3A74">
      <w:pPr>
        <w:pStyle w:val="NormalWeb"/>
        <w:rPr>
          <w:rFonts w:ascii="Arial" w:hAnsi="Arial"/>
          <w:sz w:val="20"/>
          <w:szCs w:val="20"/>
        </w:rPr>
      </w:pPr>
      <w:r w:rsidRPr="001B3A74">
        <w:rPr>
          <w:sz w:val="20"/>
          <w:szCs w:val="20"/>
        </w:rPr>
        <w:t>In addition, the updated document says the U.S. Supreme Court determined to be unconstitutional a federal law allowing cable operators to prohibit the use of a PEG channel for programming that contains obscene material, sexually explicit conduct, indecency, nudity, or material soliciting or promoting unlawful conduct. Because the law was deemed unconstitutional, cable operators may not control the content of programming on public access channels with the exception that the cable operator may refuse to transmit a public access program, or a portion of the program, which the cable operator reasonably believes contains obscenity, the document says.</w:t>
      </w:r>
      <w:r w:rsidRPr="001B3A74">
        <w:rPr>
          <w:sz w:val="20"/>
          <w:szCs w:val="20"/>
        </w:rPr>
        <w:br/>
      </w:r>
      <w:r w:rsidRPr="001B3A74">
        <w:rPr>
          <w:sz w:val="20"/>
          <w:szCs w:val="20"/>
        </w:rPr>
        <w:br/>
        <w:t xml:space="preserve">The document also says a franchising authority can allow a cable operator to re-designate “PEG channel capacity that is not in use for its designated purpose” for other cable services. The franchising authority is directed “to prescribe rules governing when this use is permitted,” it says. </w:t>
      </w:r>
      <w:r w:rsidRPr="001B3A74">
        <w:rPr>
          <w:sz w:val="20"/>
          <w:szCs w:val="20"/>
        </w:rPr>
        <w:br/>
      </w:r>
    </w:p>
    <w:p w:rsidR="001B3A74" w:rsidRDefault="001B3A74" w:rsidP="001B3A74">
      <w:pPr>
        <w:pStyle w:val="NormalWeb"/>
        <w:rPr>
          <w:rFonts w:ascii="Arial" w:hAnsi="Arial"/>
          <w:sz w:val="20"/>
          <w:szCs w:val="20"/>
        </w:rPr>
      </w:pPr>
    </w:p>
    <w:p w:rsidR="001B3A74" w:rsidRDefault="001B3A74" w:rsidP="001B3A74">
      <w:pPr>
        <w:pStyle w:val="NormalWeb"/>
        <w:rPr>
          <w:rFonts w:ascii="Arial" w:hAnsi="Arial"/>
          <w:sz w:val="20"/>
          <w:szCs w:val="20"/>
        </w:rPr>
      </w:pPr>
    </w:p>
    <w:p w:rsidR="001B3A74" w:rsidRDefault="001B3A74" w:rsidP="001B3A74">
      <w:pPr>
        <w:pStyle w:val="Heading2"/>
        <w:ind w:left="0"/>
        <w:rPr>
          <w:sz w:val="24"/>
          <w:szCs w:val="24"/>
        </w:rPr>
      </w:pPr>
      <w:r>
        <w:rPr>
          <w:sz w:val="24"/>
          <w:szCs w:val="24"/>
        </w:rPr>
        <w:lastRenderedPageBreak/>
        <w:t>FCC Guide – Reprinted with Permission</w:t>
      </w:r>
    </w:p>
    <w:p w:rsidR="001B3A74" w:rsidRDefault="001B3A74" w:rsidP="001B3A74">
      <w:pPr>
        <w:pStyle w:val="Heading2"/>
        <w:ind w:left="0"/>
        <w:rPr>
          <w:sz w:val="24"/>
          <w:szCs w:val="24"/>
        </w:rPr>
      </w:pPr>
      <w:r w:rsidRPr="00EF158C">
        <w:rPr>
          <w:sz w:val="24"/>
          <w:szCs w:val="24"/>
        </w:rPr>
        <w:t xml:space="preserve">Public, Educational, and Governmental Access Channels ("PEG Channels") </w:t>
      </w:r>
    </w:p>
    <w:p w:rsidR="001B3A74" w:rsidRDefault="001B3A74" w:rsidP="001B3A74">
      <w:pPr>
        <w:ind w:left="0"/>
      </w:pPr>
      <w:hyperlink r:id="rId6" w:history="1">
        <w:r w:rsidRPr="00AF5169">
          <w:rPr>
            <w:rStyle w:val="Hyperlink"/>
          </w:rPr>
          <w:t>http://www.fcc.gov/guides/public-educational-and-governmental-access-channels-peg-channels</w:t>
        </w:r>
      </w:hyperlink>
      <w:r>
        <w:t xml:space="preserve"> </w:t>
      </w:r>
    </w:p>
    <w:p w:rsidR="001B3A74" w:rsidRDefault="001B3A74" w:rsidP="001B3A74">
      <w:pPr>
        <w:ind w:left="0"/>
      </w:pPr>
    </w:p>
    <w:p w:rsidR="001B3A74" w:rsidRPr="00EF158C" w:rsidRDefault="001B3A74" w:rsidP="001B3A74">
      <w:pPr>
        <w:ind w:left="0"/>
      </w:pPr>
      <w:r w:rsidRPr="00EF158C">
        <w:t xml:space="preserve">Date Published: June 01 2011 </w:t>
      </w:r>
    </w:p>
    <w:p w:rsidR="001B3A74" w:rsidRPr="00EF158C" w:rsidRDefault="001B3A74" w:rsidP="001B3A74">
      <w:pPr>
        <w:spacing w:before="100" w:beforeAutospacing="1" w:after="100" w:afterAutospacing="1"/>
        <w:ind w:left="0"/>
      </w:pPr>
      <w:r w:rsidRPr="00EF158C">
        <w:t>Pursuant to Section 611 of the Communications Act, local franchising authorities may require cable operators to set aside channels for public, educational, or governmental ("PEG") use.</w:t>
      </w:r>
    </w:p>
    <w:p w:rsidR="001B3A74" w:rsidRPr="00EF158C" w:rsidRDefault="001B3A74" w:rsidP="001B3A74">
      <w:pPr>
        <w:spacing w:before="100" w:beforeAutospacing="1" w:after="100" w:afterAutospacing="1"/>
        <w:ind w:left="0"/>
      </w:pPr>
      <w:r w:rsidRPr="00EF158C">
        <w:rPr>
          <w:b/>
          <w:bCs/>
        </w:rPr>
        <w:t>Public</w:t>
      </w:r>
      <w:r w:rsidRPr="00EF158C">
        <w:t xml:space="preserve"> access channels are available for use by the general public.  They are usually administered either by the cable operator or by a third party designated by the franchising authority.</w:t>
      </w:r>
    </w:p>
    <w:p w:rsidR="001B3A74" w:rsidRPr="00EF158C" w:rsidRDefault="001B3A74" w:rsidP="001B3A74">
      <w:pPr>
        <w:spacing w:before="100" w:beforeAutospacing="1" w:after="100" w:afterAutospacing="1"/>
        <w:ind w:left="0"/>
      </w:pPr>
      <w:r w:rsidRPr="00EF158C">
        <w:rPr>
          <w:b/>
          <w:bCs/>
        </w:rPr>
        <w:t>Educational</w:t>
      </w:r>
      <w:r w:rsidRPr="00EF158C">
        <w:t xml:space="preserve"> access channels are used by educational institutions for educational programming.  Time on these channels is typically allocated among local schools, colleges and universities by either the franchising authority or the cable operator.</w:t>
      </w:r>
    </w:p>
    <w:p w:rsidR="001B3A74" w:rsidRPr="00EF158C" w:rsidRDefault="001B3A74" w:rsidP="001B3A74">
      <w:pPr>
        <w:spacing w:before="100" w:beforeAutospacing="1" w:after="100" w:afterAutospacing="1"/>
        <w:ind w:left="0"/>
      </w:pPr>
      <w:r w:rsidRPr="00EF158C">
        <w:rPr>
          <w:b/>
          <w:bCs/>
        </w:rPr>
        <w:t>Governmental</w:t>
      </w:r>
      <w:r w:rsidRPr="00EF158C">
        <w:t xml:space="preserve"> access channels are used for programming by local governments.  In most jurisdictions, the local governments directly controls these channels.</w:t>
      </w:r>
    </w:p>
    <w:p w:rsidR="001B3A74" w:rsidRPr="00EF158C" w:rsidRDefault="001B3A74" w:rsidP="001B3A74">
      <w:pPr>
        <w:spacing w:before="100" w:beforeAutospacing="1" w:after="100" w:afterAutospacing="1"/>
        <w:ind w:left="0"/>
      </w:pPr>
      <w:r w:rsidRPr="00EF158C">
        <w:t>PEG channels are not mandated by federal law, rather they are a right given to the franchising authority, which it may choose to exercise.  The decision whether to require the cable operator to carry PEG channels is up to the local franchising authority.  If the franchise authority does require PEG channels, that requirement will be set out in the franchise agreement between the franchising authority and the cable operator.</w:t>
      </w:r>
    </w:p>
    <w:p w:rsidR="001B3A74" w:rsidRPr="00EF158C" w:rsidRDefault="001B3A74" w:rsidP="001B3A74">
      <w:pPr>
        <w:spacing w:before="100" w:beforeAutospacing="1" w:after="100" w:afterAutospacing="1"/>
        <w:ind w:left="0"/>
      </w:pPr>
      <w:r w:rsidRPr="00EF158C">
        <w:t>Franchising authorities may also require cable operators to set aside channels for educational or governmental use on institutional networks, i.e., channels that are generally available only to institutions such as schools, libraries, or government offices.</w:t>
      </w:r>
    </w:p>
    <w:p w:rsidR="001B3A74" w:rsidRPr="00EF158C" w:rsidRDefault="001B3A74" w:rsidP="001B3A74">
      <w:pPr>
        <w:spacing w:before="100" w:beforeAutospacing="1" w:after="100" w:afterAutospacing="1"/>
        <w:ind w:left="0"/>
      </w:pPr>
      <w:r w:rsidRPr="00EF158C">
        <w:t>Franchising authorities may require cable operators to provide services, facilities, or equipment for the use of PEG channels.</w:t>
      </w:r>
    </w:p>
    <w:p w:rsidR="001B3A74" w:rsidRPr="00EF158C" w:rsidRDefault="001B3A74" w:rsidP="001B3A74">
      <w:pPr>
        <w:spacing w:before="100" w:beforeAutospacing="1" w:after="100" w:afterAutospacing="1"/>
        <w:ind w:left="0"/>
      </w:pPr>
      <w:r w:rsidRPr="00EF158C">
        <w:t>In accordance with applicable franchise agreements, local franchising authorities or cable operators may adopt on their own, non-content-based rules governing the use of PEG channels.  For example:</w:t>
      </w:r>
    </w:p>
    <w:p w:rsidR="001B3A74" w:rsidRPr="00EF158C" w:rsidRDefault="001B3A74" w:rsidP="001B3A74">
      <w:pPr>
        <w:numPr>
          <w:ilvl w:val="0"/>
          <w:numId w:val="2"/>
        </w:numPr>
        <w:spacing w:before="100" w:beforeAutospacing="1" w:after="100" w:afterAutospacing="1"/>
        <w:ind w:left="0" w:right="0" w:firstLine="0"/>
      </w:pPr>
      <w:r w:rsidRPr="00EF158C">
        <w:t>Rules may be adopted for allocating time among competing applicants on a reasonable basis other than the content of their programming.</w:t>
      </w:r>
    </w:p>
    <w:p w:rsidR="001B3A74" w:rsidRPr="00EF158C" w:rsidRDefault="001B3A74" w:rsidP="001B3A74">
      <w:pPr>
        <w:numPr>
          <w:ilvl w:val="0"/>
          <w:numId w:val="2"/>
        </w:numPr>
        <w:spacing w:before="100" w:beforeAutospacing="1" w:after="100" w:afterAutospacing="1"/>
        <w:ind w:left="0" w:right="0" w:firstLine="0"/>
      </w:pPr>
      <w:r w:rsidRPr="00EF158C">
        <w:t>Minimum production standards may be required.</w:t>
      </w:r>
    </w:p>
    <w:p w:rsidR="001B3A74" w:rsidRPr="00EF158C" w:rsidRDefault="001B3A74" w:rsidP="001B3A74">
      <w:pPr>
        <w:numPr>
          <w:ilvl w:val="0"/>
          <w:numId w:val="2"/>
        </w:numPr>
        <w:spacing w:before="100" w:beforeAutospacing="1" w:after="100" w:afterAutospacing="1"/>
        <w:ind w:left="0" w:right="0" w:firstLine="0"/>
      </w:pPr>
      <w:r w:rsidRPr="00EF158C">
        <w:t>Users may be required to undergo training.</w:t>
      </w:r>
    </w:p>
    <w:p w:rsidR="001B3A74" w:rsidRPr="00EF158C" w:rsidRDefault="001B3A74" w:rsidP="001B3A74">
      <w:pPr>
        <w:spacing w:before="100" w:beforeAutospacing="1" w:after="100" w:afterAutospacing="1"/>
        <w:ind w:left="0"/>
      </w:pPr>
      <w:r w:rsidRPr="00EF158C">
        <w:t>Federal law permitted a cable operator to prohibit the use of a PEG channel for programming that contains obscene material, sexually explicit conduct, indecency, nudity, or material soliciting or promoting unlawful conduct.  However, the U.S. Supreme Court determined that this law was unconstitutional.  Therefore, cable operators may not control the content of programming on public access channels with the exception that the cable operator may refuse to transmit a public access program, or a portion of the program, which the cable operator reasonably believes contains obscenity.</w:t>
      </w:r>
    </w:p>
    <w:p w:rsidR="001B3A74" w:rsidRPr="00EF158C" w:rsidRDefault="001B3A74" w:rsidP="001B3A74">
      <w:pPr>
        <w:spacing w:before="100" w:beforeAutospacing="1" w:after="100" w:afterAutospacing="1"/>
        <w:ind w:left="0"/>
      </w:pPr>
      <w:r w:rsidRPr="00EF158C">
        <w:t>PEG channel capacity that is not in use for its designated purpose may, with the franchising authority's permission, be used by the cable operator to provide other cable services.  Franchising authorities are directed by federal law to prescribe rules governing when this use is permitted.</w:t>
      </w:r>
    </w:p>
    <w:p w:rsidR="001B3A74" w:rsidRPr="00EF158C" w:rsidRDefault="001B3A74" w:rsidP="001B3A74">
      <w:pPr>
        <w:spacing w:before="100" w:beforeAutospacing="1" w:after="100" w:afterAutospacing="1"/>
        <w:ind w:left="0"/>
        <w:outlineLvl w:val="2"/>
        <w:rPr>
          <w:b/>
          <w:bCs/>
          <w:sz w:val="27"/>
          <w:szCs w:val="27"/>
        </w:rPr>
      </w:pPr>
      <w:r w:rsidRPr="00EF158C">
        <w:rPr>
          <w:b/>
          <w:bCs/>
          <w:sz w:val="27"/>
          <w:szCs w:val="27"/>
        </w:rPr>
        <w:t>For additional information</w:t>
      </w:r>
    </w:p>
    <w:p w:rsidR="001B3A74" w:rsidRPr="001B3A74" w:rsidRDefault="001B3A74" w:rsidP="001B3A74">
      <w:pPr>
        <w:spacing w:before="100" w:beforeAutospacing="1" w:after="100" w:afterAutospacing="1"/>
        <w:ind w:left="0"/>
        <w:rPr>
          <w:rFonts w:ascii="Arial" w:hAnsi="Arial"/>
        </w:rPr>
      </w:pPr>
      <w:r w:rsidRPr="00EF158C">
        <w:t>Any questions or comments about PEG channels on a particular system should be directed to the cable operator or the local franchising authority, and not to the Federal Communications Commission.  The name and telephone number of your franchising authority should appear on your cable bill, or should be available through your cable operator.  With very limited exceptions, the Federal Communications Commission is not responsible for enforcing the federal statute governing PEG channels</w:t>
      </w:r>
      <w:r>
        <w:t>.</w:t>
      </w:r>
      <w:r w:rsidRPr="001B3A74">
        <w:rPr>
          <w:rFonts w:ascii="Arial" w:hAnsi="Arial"/>
        </w:rPr>
        <w:t xml:space="preserve"> </w:t>
      </w:r>
    </w:p>
    <w:sectPr w:rsidR="001B3A74" w:rsidRPr="001B3A74">
      <w:footnotePr>
        <w:numRestart w:val="eachPage"/>
      </w:footnotePr>
      <w:type w:val="continuous"/>
      <w:pgSz w:w="12240" w:h="15840" w:code="1"/>
      <w:pgMar w:top="1440" w:right="1170" w:bottom="1440" w:left="1440" w:header="960" w:footer="1440" w:gutter="0"/>
      <w:cols w:space="720"/>
      <w:titlePg/>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7F37B59"/>
    <w:multiLevelType w:val="multilevel"/>
    <w:tmpl w:val="9C061C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52A41A00"/>
    <w:multiLevelType w:val="multilevel"/>
    <w:tmpl w:val="5D889D5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07"/>
  <w:proofState w:spelling="clean"/>
  <w:attachedTemplate r:id="rId1"/>
  <w:doNotTrackMoves/>
  <w:defaultTabStop w:val="360"/>
  <w:displayHorizontalDrawingGridEvery w:val="0"/>
  <w:displayVerticalDrawingGridEvery w:val="0"/>
  <w:doNotUseMarginsForDrawingGridOrigin/>
  <w:doNotShadeFormData/>
  <w:noPunctuationKerning/>
  <w:characterSpacingControl w:val="doNotCompress"/>
  <w:savePreviewPicture/>
  <w:footnotePr>
    <w:numRestart w:val="eachPage"/>
  </w:footnotePr>
  <w:compat>
    <w:usePrinterMetrics/>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012083"/>
    <w:rsid w:val="000045D9"/>
    <w:rsid w:val="00012083"/>
    <w:rsid w:val="001B3A74"/>
    <w:rsid w:val="00450B95"/>
    <w:rsid w:val="00F847BF"/>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ind w:left="840" w:right="-360"/>
    </w:pPr>
  </w:style>
  <w:style w:type="paragraph" w:styleId="Heading1">
    <w:name w:val="heading 1"/>
    <w:basedOn w:val="HeadingBase"/>
    <w:next w:val="BodyText"/>
    <w:qFormat/>
    <w:pPr>
      <w:outlineLvl w:val="0"/>
    </w:pPr>
    <w:rPr>
      <w:b/>
    </w:rPr>
  </w:style>
  <w:style w:type="paragraph" w:styleId="Heading2">
    <w:name w:val="heading 2"/>
    <w:basedOn w:val="HeadingBase"/>
    <w:next w:val="BodyText"/>
    <w:qFormat/>
    <w:pPr>
      <w:spacing w:line="200" w:lineRule="atLeast"/>
      <w:outlineLvl w:val="1"/>
    </w:pPr>
    <w:rPr>
      <w:b/>
      <w:spacing w:val="-6"/>
      <w:sz w:val="18"/>
    </w:rPr>
  </w:style>
  <w:style w:type="paragraph" w:styleId="Heading3">
    <w:name w:val="heading 3"/>
    <w:basedOn w:val="HeadingBase"/>
    <w:next w:val="BodyText"/>
    <w:qFormat/>
    <w:pPr>
      <w:spacing w:line="200" w:lineRule="atLeast"/>
      <w:outlineLvl w:val="2"/>
    </w:pPr>
    <w:rPr>
      <w:spacing w:val="-6"/>
      <w:sz w:val="18"/>
    </w:rPr>
  </w:style>
  <w:style w:type="paragraph" w:styleId="Heading4">
    <w:name w:val="heading 4"/>
    <w:basedOn w:val="HeadingBase"/>
    <w:next w:val="BodyText"/>
    <w:qFormat/>
    <w:pPr>
      <w:spacing w:after="220"/>
      <w:outlineLvl w:val="3"/>
    </w:pPr>
    <w:rPr>
      <w:rFonts w:ascii="Times New Roman" w:hAnsi="Times New Roman"/>
      <w:i/>
      <w:spacing w:val="-2"/>
    </w:rPr>
  </w:style>
  <w:style w:type="paragraph" w:styleId="Heading5">
    <w:name w:val="heading 5"/>
    <w:basedOn w:val="HeadingBase"/>
    <w:next w:val="BodyText"/>
    <w:qFormat/>
    <w:pPr>
      <w:outlineLvl w:val="4"/>
    </w:pPr>
    <w:rPr>
      <w:rFonts w:ascii="Times New Roman" w:hAnsi="Times New Roman"/>
      <w:i/>
      <w:spacing w:val="-2"/>
    </w:rPr>
  </w:style>
  <w:style w:type="paragraph" w:styleId="Heading6">
    <w:name w:val="heading 6"/>
    <w:basedOn w:val="HeadingBase"/>
    <w:next w:val="BodyText"/>
    <w:qFormat/>
    <w:pPr>
      <w:ind w:left="1080"/>
      <w:outlineLvl w:val="5"/>
    </w:pPr>
    <w:rPr>
      <w:b/>
      <w:spacing w:val="-4"/>
      <w:sz w:val="18"/>
    </w:rPr>
  </w:style>
  <w:style w:type="paragraph" w:styleId="Heading7">
    <w:name w:val="heading 7"/>
    <w:basedOn w:val="HeadingBase"/>
    <w:next w:val="BodyText"/>
    <w:qFormat/>
    <w:pPr>
      <w:ind w:left="1080"/>
      <w:outlineLvl w:val="6"/>
    </w:pPr>
    <w:rPr>
      <w:rFonts w:ascii="Times New Roman" w:hAnsi="Times New Roman"/>
      <w:spacing w:val="-4"/>
    </w:rPr>
  </w:style>
  <w:style w:type="paragraph" w:styleId="Heading8">
    <w:name w:val="heading 8"/>
    <w:basedOn w:val="HeadingBase"/>
    <w:next w:val="BodyText"/>
    <w:qFormat/>
    <w:pPr>
      <w:ind w:left="1440"/>
      <w:outlineLvl w:val="7"/>
    </w:pPr>
    <w:rPr>
      <w:b/>
      <w:spacing w:val="-4"/>
      <w:sz w:val="18"/>
    </w:rPr>
  </w:style>
  <w:style w:type="paragraph" w:styleId="Heading9">
    <w:name w:val="heading 9"/>
    <w:basedOn w:val="HeadingBase"/>
    <w:next w:val="BodyText"/>
    <w:qFormat/>
    <w:pPr>
      <w:ind w:left="1440"/>
      <w:outlineLvl w:val="8"/>
    </w:pPr>
    <w:rPr>
      <w:spacing w:val="-6"/>
      <w:sz w:val="18"/>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ingBase">
    <w:name w:val="Heading Base"/>
    <w:basedOn w:val="BodyText"/>
    <w:next w:val="BodyText"/>
    <w:pPr>
      <w:keepNext/>
      <w:keepLines/>
      <w:spacing w:after="0"/>
    </w:pPr>
    <w:rPr>
      <w:rFonts w:ascii="Arial" w:hAnsi="Arial"/>
      <w:spacing w:val="-10"/>
      <w:kern w:val="20"/>
    </w:rPr>
  </w:style>
  <w:style w:type="paragraph" w:styleId="BodyText">
    <w:name w:val="Body Text"/>
    <w:basedOn w:val="Normal"/>
    <w:semiHidden/>
    <w:pPr>
      <w:spacing w:after="220" w:line="220" w:lineRule="atLeast"/>
    </w:pPr>
  </w:style>
  <w:style w:type="paragraph" w:styleId="CommentText">
    <w:name w:val="annotation text"/>
    <w:basedOn w:val="FootnoteBase"/>
    <w:semiHidden/>
  </w:style>
  <w:style w:type="paragraph" w:customStyle="1" w:styleId="FootnoteBase">
    <w:name w:val="Footnote Base"/>
    <w:basedOn w:val="BodyText"/>
    <w:pPr>
      <w:keepLines/>
      <w:spacing w:line="200" w:lineRule="atLeast"/>
    </w:pPr>
    <w:rPr>
      <w:sz w:val="16"/>
    </w:rPr>
  </w:style>
  <w:style w:type="paragraph" w:styleId="MessageHeader">
    <w:name w:val="Message Header"/>
    <w:basedOn w:val="BodyText"/>
    <w:semiHidden/>
    <w:pPr>
      <w:keepLines/>
      <w:tabs>
        <w:tab w:val="left" w:pos="1800"/>
      </w:tabs>
      <w:spacing w:line="220" w:lineRule="exact"/>
      <w:ind w:left="1800" w:right="0" w:hanging="720"/>
    </w:pPr>
  </w:style>
  <w:style w:type="paragraph" w:customStyle="1" w:styleId="BlockQuotation">
    <w:name w:val="Block Quotation"/>
    <w:basedOn w:val="BodyText"/>
    <w:pPr>
      <w:keepLines/>
      <w:ind w:left="1200" w:right="0"/>
    </w:pPr>
  </w:style>
  <w:style w:type="paragraph" w:customStyle="1" w:styleId="BodyTextKeep">
    <w:name w:val="Body Text Keep"/>
    <w:basedOn w:val="BodyText"/>
    <w:pPr>
      <w:keepNext/>
    </w:pPr>
  </w:style>
  <w:style w:type="paragraph" w:styleId="Closing">
    <w:name w:val="Closing"/>
    <w:basedOn w:val="BodyText"/>
    <w:next w:val="SignatureCompanyName"/>
    <w:semiHidden/>
    <w:pPr>
      <w:keepNext/>
      <w:spacing w:after="60"/>
    </w:pPr>
  </w:style>
  <w:style w:type="paragraph" w:customStyle="1" w:styleId="SignatureCompanyName">
    <w:name w:val="Signature Company Name"/>
    <w:basedOn w:val="Signature"/>
    <w:next w:val="SignatureName"/>
    <w:pPr>
      <w:spacing w:before="0"/>
    </w:pPr>
  </w:style>
  <w:style w:type="paragraph" w:styleId="Signature">
    <w:name w:val="Signature"/>
    <w:basedOn w:val="BodyText"/>
    <w:semiHidden/>
    <w:pPr>
      <w:keepNext/>
      <w:spacing w:before="660" w:after="0"/>
    </w:pPr>
  </w:style>
  <w:style w:type="paragraph" w:customStyle="1" w:styleId="SignatureName">
    <w:name w:val="Signature Name"/>
    <w:basedOn w:val="Signature"/>
    <w:next w:val="SignatureJobTitle"/>
    <w:pPr>
      <w:spacing w:before="880"/>
    </w:pPr>
  </w:style>
  <w:style w:type="paragraph" w:customStyle="1" w:styleId="SignatureJobTitle">
    <w:name w:val="Signature Job Title"/>
    <w:basedOn w:val="Signature"/>
    <w:next w:val="ReferenceInitials"/>
    <w:pPr>
      <w:spacing w:before="0"/>
    </w:pPr>
  </w:style>
  <w:style w:type="paragraph" w:customStyle="1" w:styleId="ReferenceInitials">
    <w:name w:val="Reference Initials"/>
    <w:basedOn w:val="BodyText"/>
    <w:next w:val="Enclosure"/>
    <w:pPr>
      <w:keepNext/>
      <w:keepLines/>
      <w:spacing w:before="220" w:after="0"/>
    </w:pPr>
  </w:style>
  <w:style w:type="paragraph" w:customStyle="1" w:styleId="Enclosure">
    <w:name w:val="Enclosure"/>
    <w:basedOn w:val="BodyText"/>
    <w:next w:val="CC"/>
    <w:pPr>
      <w:keepNext/>
      <w:keepLines/>
      <w:spacing w:after="880"/>
    </w:pPr>
  </w:style>
  <w:style w:type="paragraph" w:customStyle="1" w:styleId="CC">
    <w:name w:val="CC"/>
    <w:basedOn w:val="BodyText"/>
    <w:pPr>
      <w:keepLines/>
      <w:ind w:left="1200" w:hanging="360"/>
    </w:pPr>
  </w:style>
  <w:style w:type="paragraph" w:customStyle="1" w:styleId="CompanyName">
    <w:name w:val="Company Name"/>
    <w:basedOn w:val="Normal"/>
    <w:next w:val="Date"/>
    <w:pPr>
      <w:spacing w:before="100" w:after="600" w:line="600" w:lineRule="atLeast"/>
    </w:pPr>
    <w:rPr>
      <w:spacing w:val="-34"/>
      <w:sz w:val="60"/>
    </w:rPr>
  </w:style>
  <w:style w:type="paragraph" w:styleId="Caption">
    <w:name w:val="caption"/>
    <w:basedOn w:val="Picture"/>
    <w:next w:val="BodyText"/>
    <w:qFormat/>
    <w:rPr>
      <w:i/>
      <w:sz w:val="18"/>
    </w:rPr>
  </w:style>
  <w:style w:type="paragraph" w:customStyle="1" w:styleId="Picture">
    <w:name w:val="Picture"/>
    <w:basedOn w:val="Normal"/>
    <w:next w:val="Caption"/>
    <w:pPr>
      <w:keepNext/>
    </w:pPr>
  </w:style>
  <w:style w:type="paragraph" w:styleId="Date">
    <w:name w:val="Date"/>
    <w:basedOn w:val="BodyText"/>
    <w:next w:val="InsideAddress"/>
    <w:semiHidden/>
    <w:pPr>
      <w:spacing w:after="480"/>
    </w:pPr>
  </w:style>
  <w:style w:type="paragraph" w:customStyle="1" w:styleId="InsideAddress">
    <w:name w:val="Inside Address"/>
    <w:basedOn w:val="BodyText"/>
    <w:pPr>
      <w:spacing w:after="0"/>
    </w:pPr>
  </w:style>
  <w:style w:type="paragraph" w:customStyle="1" w:styleId="AttentionLine">
    <w:name w:val="Attention Line"/>
    <w:basedOn w:val="BodyText"/>
    <w:next w:val="Salutation"/>
    <w:pPr>
      <w:spacing w:before="220" w:after="0"/>
    </w:pPr>
  </w:style>
  <w:style w:type="paragraph" w:styleId="Salutation">
    <w:name w:val="Salutation"/>
    <w:basedOn w:val="BodyText"/>
    <w:next w:val="SubjectLine"/>
    <w:semiHidden/>
    <w:pPr>
      <w:spacing w:before="220"/>
    </w:pPr>
  </w:style>
  <w:style w:type="paragraph" w:customStyle="1" w:styleId="SubjectLine">
    <w:name w:val="Subject Line"/>
    <w:basedOn w:val="BodyText"/>
    <w:next w:val="BodyText"/>
    <w:rPr>
      <w:rFonts w:ascii="Arial" w:hAnsi="Arial"/>
      <w:b/>
      <w:spacing w:val="-6"/>
      <w:sz w:val="18"/>
    </w:rPr>
  </w:style>
  <w:style w:type="character" w:styleId="EndnoteReference">
    <w:name w:val="endnote reference"/>
    <w:semiHidden/>
    <w:rPr>
      <w:rFonts w:ascii="Times New Roman" w:hAnsi="Times New Roman"/>
      <w:sz w:val="20"/>
      <w:vertAlign w:val="superscript"/>
    </w:rPr>
  </w:style>
  <w:style w:type="paragraph" w:styleId="EndnoteText">
    <w:name w:val="endnote text"/>
    <w:basedOn w:val="FootnoteBase"/>
    <w:semiHidden/>
  </w:style>
  <w:style w:type="paragraph" w:styleId="EnvelopeAddress">
    <w:name w:val="envelope address"/>
    <w:basedOn w:val="BodyText"/>
    <w:semiHidden/>
    <w:pPr>
      <w:framePr w:w="7920" w:h="1987" w:hRule="exact" w:hSpace="187" w:vSpace="187" w:wrap="around" w:hAnchor="page" w:xAlign="center" w:yAlign="bottom"/>
      <w:spacing w:after="0"/>
      <w:ind w:left="2880"/>
    </w:pPr>
    <w:rPr>
      <w:rFonts w:ascii="Arial" w:hAnsi="Arial"/>
      <w:b/>
    </w:rPr>
  </w:style>
  <w:style w:type="paragraph" w:styleId="EnvelopeReturn">
    <w:name w:val="envelope return"/>
    <w:basedOn w:val="BodyText"/>
    <w:semiHidden/>
    <w:pPr>
      <w:spacing w:after="0" w:line="240" w:lineRule="auto"/>
      <w:ind w:left="0" w:right="0"/>
    </w:pPr>
    <w:rPr>
      <w:b/>
      <w:i/>
    </w:rPr>
  </w:style>
  <w:style w:type="paragraph" w:styleId="Footer">
    <w:name w:val="footer"/>
    <w:basedOn w:val="HeaderBase"/>
    <w:semiHidden/>
    <w:pPr>
      <w:spacing w:before="440"/>
    </w:pPr>
    <w:rPr>
      <w:rFonts w:ascii="Arial" w:hAnsi="Arial"/>
      <w:b/>
      <w:sz w:val="18"/>
    </w:rPr>
  </w:style>
  <w:style w:type="paragraph" w:customStyle="1" w:styleId="HeaderBase">
    <w:name w:val="Header Base"/>
    <w:basedOn w:val="BodyText"/>
    <w:pPr>
      <w:keepLines/>
      <w:tabs>
        <w:tab w:val="left" w:pos="-1080"/>
        <w:tab w:val="center" w:pos="4320"/>
        <w:tab w:val="right" w:pos="9720"/>
      </w:tabs>
      <w:spacing w:after="0"/>
      <w:ind w:left="-1080" w:right="-1080"/>
    </w:pPr>
  </w:style>
  <w:style w:type="character" w:styleId="FootnoteReference">
    <w:name w:val="footnote reference"/>
    <w:semiHidden/>
    <w:rPr>
      <w:rFonts w:ascii="Times New Roman" w:hAnsi="Times New Roman"/>
      <w:sz w:val="20"/>
      <w:vertAlign w:val="superscript"/>
    </w:rPr>
  </w:style>
  <w:style w:type="paragraph" w:styleId="FootnoteText">
    <w:name w:val="footnote text"/>
    <w:basedOn w:val="FootnoteBase"/>
    <w:semiHidden/>
  </w:style>
  <w:style w:type="paragraph" w:styleId="Header">
    <w:name w:val="header"/>
    <w:basedOn w:val="HeaderBase"/>
    <w:semiHidden/>
    <w:rPr>
      <w:i/>
    </w:rPr>
  </w:style>
  <w:style w:type="character" w:customStyle="1" w:styleId="Lead-inEmphasis">
    <w:name w:val="Lead-in Emphasis"/>
    <w:rPr>
      <w:rFonts w:ascii="Arial" w:hAnsi="Arial"/>
      <w:b/>
      <w:spacing w:val="-10"/>
    </w:rPr>
  </w:style>
  <w:style w:type="character" w:styleId="LineNumber">
    <w:name w:val="line number"/>
    <w:semiHidden/>
    <w:rPr>
      <w:sz w:val="18"/>
    </w:rPr>
  </w:style>
  <w:style w:type="paragraph" w:styleId="List">
    <w:name w:val="List"/>
    <w:basedOn w:val="BodyText"/>
    <w:semiHidden/>
    <w:pPr>
      <w:ind w:left="1440" w:hanging="360"/>
    </w:pPr>
  </w:style>
  <w:style w:type="paragraph" w:styleId="ListBullet">
    <w:name w:val="List Bullet"/>
    <w:basedOn w:val="List"/>
    <w:semiHidden/>
    <w:pPr>
      <w:ind w:left="1560" w:right="360"/>
    </w:pPr>
  </w:style>
  <w:style w:type="paragraph" w:styleId="ListNumber">
    <w:name w:val="List Number"/>
    <w:basedOn w:val="List"/>
    <w:semiHidden/>
    <w:pPr>
      <w:ind w:left="1560" w:right="360"/>
    </w:pPr>
  </w:style>
  <w:style w:type="paragraph" w:styleId="MacroText">
    <w:name w:val="macro"/>
    <w:basedOn w:val="BodyText"/>
    <w:semiHidden/>
    <w:pPr>
      <w:spacing w:line="240" w:lineRule="auto"/>
    </w:pPr>
    <w:rPr>
      <w:rFonts w:ascii="Courier New" w:hAnsi="Courier New"/>
    </w:rPr>
  </w:style>
  <w:style w:type="character" w:styleId="PageNumber">
    <w:name w:val="page number"/>
    <w:semiHidden/>
    <w:rPr>
      <w:rFonts w:ascii="Arial" w:hAnsi="Arial"/>
      <w:b/>
      <w:sz w:val="18"/>
      <w:vertAlign w:val="baseline"/>
    </w:rPr>
  </w:style>
  <w:style w:type="paragraph" w:customStyle="1" w:styleId="ReturnAddress">
    <w:name w:val="Return Address"/>
    <w:basedOn w:val="Normal"/>
    <w:pPr>
      <w:keepLines/>
      <w:framePr w:w="2640" w:h="1018" w:hRule="exact" w:hSpace="180" w:wrap="notBeside" w:vAnchor="page" w:hAnchor="page" w:x="8821" w:y="721" w:anchorLock="1"/>
      <w:spacing w:line="200" w:lineRule="atLeast"/>
      <w:ind w:left="0"/>
    </w:pPr>
    <w:rPr>
      <w:sz w:val="16"/>
    </w:rPr>
  </w:style>
  <w:style w:type="character" w:customStyle="1" w:styleId="Superscript">
    <w:name w:val="Superscript"/>
    <w:rPr>
      <w:vertAlign w:val="superscript"/>
    </w:rPr>
  </w:style>
  <w:style w:type="paragraph" w:styleId="ListNumber5">
    <w:name w:val="List Number 5"/>
    <w:basedOn w:val="ListNumber"/>
    <w:semiHidden/>
    <w:pPr>
      <w:ind w:left="3000"/>
    </w:pPr>
  </w:style>
  <w:style w:type="paragraph" w:styleId="ListNumber4">
    <w:name w:val="List Number 4"/>
    <w:basedOn w:val="ListNumber"/>
    <w:semiHidden/>
    <w:pPr>
      <w:ind w:left="2640"/>
    </w:pPr>
  </w:style>
  <w:style w:type="paragraph" w:styleId="ListNumber3">
    <w:name w:val="List Number 3"/>
    <w:basedOn w:val="ListNumber"/>
    <w:semiHidden/>
    <w:pPr>
      <w:ind w:left="2280"/>
    </w:pPr>
  </w:style>
  <w:style w:type="paragraph" w:styleId="ListNumber2">
    <w:name w:val="List Number 2"/>
    <w:basedOn w:val="ListNumber"/>
    <w:semiHidden/>
    <w:pPr>
      <w:ind w:left="1920"/>
    </w:pPr>
  </w:style>
  <w:style w:type="paragraph" w:styleId="ListBullet5">
    <w:name w:val="List Bullet 5"/>
    <w:basedOn w:val="ListBullet"/>
    <w:semiHidden/>
    <w:pPr>
      <w:ind w:left="3000"/>
    </w:pPr>
  </w:style>
  <w:style w:type="paragraph" w:styleId="ListBullet4">
    <w:name w:val="List Bullet 4"/>
    <w:basedOn w:val="ListBullet"/>
    <w:semiHidden/>
    <w:pPr>
      <w:ind w:left="2640"/>
    </w:pPr>
  </w:style>
  <w:style w:type="paragraph" w:styleId="ListBullet3">
    <w:name w:val="List Bullet 3"/>
    <w:basedOn w:val="ListBullet"/>
    <w:semiHidden/>
    <w:pPr>
      <w:ind w:left="2280"/>
    </w:pPr>
  </w:style>
  <w:style w:type="paragraph" w:styleId="ListBullet2">
    <w:name w:val="List Bullet 2"/>
    <w:basedOn w:val="ListBullet"/>
    <w:semiHidden/>
    <w:pPr>
      <w:ind w:left="1920"/>
    </w:pPr>
  </w:style>
  <w:style w:type="paragraph" w:styleId="List5">
    <w:name w:val="List 5"/>
    <w:basedOn w:val="List"/>
    <w:semiHidden/>
    <w:pPr>
      <w:ind w:left="2880"/>
    </w:pPr>
  </w:style>
  <w:style w:type="paragraph" w:styleId="List4">
    <w:name w:val="List 4"/>
    <w:basedOn w:val="List"/>
    <w:semiHidden/>
    <w:pPr>
      <w:ind w:left="2520"/>
    </w:pPr>
  </w:style>
  <w:style w:type="paragraph" w:styleId="List3">
    <w:name w:val="List 3"/>
    <w:basedOn w:val="List"/>
    <w:semiHidden/>
    <w:pPr>
      <w:ind w:left="2160"/>
    </w:pPr>
  </w:style>
  <w:style w:type="paragraph" w:styleId="List2">
    <w:name w:val="List 2"/>
    <w:basedOn w:val="List"/>
    <w:semiHidden/>
    <w:pPr>
      <w:ind w:left="1800"/>
    </w:pPr>
  </w:style>
  <w:style w:type="paragraph" w:styleId="BodyTextIndent">
    <w:name w:val="Body Text Indent"/>
    <w:basedOn w:val="BodyText"/>
    <w:semiHidden/>
    <w:pPr>
      <w:ind w:left="1200"/>
    </w:pPr>
  </w:style>
  <w:style w:type="character" w:styleId="Emphasis">
    <w:name w:val="Emphasis"/>
    <w:uiPriority w:val="20"/>
    <w:qFormat/>
    <w:rPr>
      <w:rFonts w:ascii="Arial" w:hAnsi="Arial"/>
      <w:b/>
      <w:spacing w:val="-10"/>
      <w:sz w:val="18"/>
    </w:rPr>
  </w:style>
  <w:style w:type="paragraph" w:customStyle="1" w:styleId="Logo">
    <w:name w:val="Logo"/>
    <w:basedOn w:val="Normal"/>
    <w:pPr>
      <w:ind w:left="0" w:right="0"/>
    </w:pPr>
  </w:style>
  <w:style w:type="character" w:styleId="CommentReference">
    <w:name w:val="annotation reference"/>
    <w:semiHidden/>
    <w:rPr>
      <w:sz w:val="16"/>
    </w:rPr>
  </w:style>
  <w:style w:type="paragraph" w:styleId="ListContinue">
    <w:name w:val="List Continue"/>
    <w:basedOn w:val="List"/>
    <w:semiHidden/>
    <w:pPr>
      <w:ind w:left="1560" w:right="720" w:firstLine="0"/>
    </w:pPr>
  </w:style>
  <w:style w:type="paragraph" w:styleId="ListContinue2">
    <w:name w:val="List Continue 2"/>
    <w:basedOn w:val="ListContinue"/>
    <w:semiHidden/>
    <w:pPr>
      <w:ind w:left="1920"/>
    </w:pPr>
  </w:style>
  <w:style w:type="paragraph" w:styleId="ListContinue3">
    <w:name w:val="List Continue 3"/>
    <w:basedOn w:val="ListContinue"/>
    <w:semiHidden/>
    <w:pPr>
      <w:ind w:left="2280"/>
    </w:pPr>
  </w:style>
  <w:style w:type="paragraph" w:styleId="ListContinue4">
    <w:name w:val="List Continue 4"/>
    <w:basedOn w:val="ListContinue"/>
    <w:semiHidden/>
    <w:pPr>
      <w:ind w:left="2640"/>
    </w:pPr>
  </w:style>
  <w:style w:type="paragraph" w:styleId="ListContinue5">
    <w:name w:val="List Continue 5"/>
    <w:basedOn w:val="ListContinue"/>
    <w:semiHidden/>
    <w:pPr>
      <w:ind w:left="3000"/>
    </w:pPr>
  </w:style>
  <w:style w:type="paragraph" w:styleId="NormalIndent">
    <w:name w:val="Normal Indent"/>
    <w:basedOn w:val="Normal"/>
    <w:semiHidden/>
    <w:pPr>
      <w:ind w:left="1200"/>
    </w:pPr>
  </w:style>
  <w:style w:type="character" w:customStyle="1" w:styleId="Slogan">
    <w:name w:val="Slogan"/>
    <w:basedOn w:val="DefaultParagraphFont"/>
    <w:rPr>
      <w:i/>
      <w:spacing w:val="-6"/>
      <w:sz w:val="24"/>
    </w:rPr>
  </w:style>
  <w:style w:type="character" w:styleId="Hyperlink">
    <w:name w:val="Hyperlink"/>
    <w:basedOn w:val="DefaultParagraphFont"/>
    <w:semiHidden/>
    <w:rPr>
      <w:color w:val="0000FF"/>
      <w:u w:val="single"/>
    </w:rPr>
  </w:style>
  <w:style w:type="paragraph" w:styleId="NormalWeb">
    <w:name w:val="Normal (Web)"/>
    <w:basedOn w:val="Normal"/>
    <w:rsid w:val="00F847BF"/>
    <w:pPr>
      <w:spacing w:before="100" w:beforeAutospacing="1" w:after="100" w:afterAutospacing="1"/>
      <w:ind w:left="0" w:right="0"/>
    </w:pPr>
    <w:rPr>
      <w:sz w:val="24"/>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fcc.gov/guides/public-educational-and-governmental-access-channels-peg-channels" TargetMode="External"/><Relationship Id="rId5" Type="http://schemas.openxmlformats.org/officeDocument/2006/relationships/hyperlink" Target="mailto:info@ctamaine.org" TargetMode="External"/><Relationship Id="rId4" Type="http://schemas.openxmlformats.org/officeDocument/2006/relationships/webSettings" Target="web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C:\MSOffice\Templates\Letters%20&amp;%20Faxes\Contemporary%20Lette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Contemporary Letter</Template>
  <TotalTime>0</TotalTime>
  <Pages>2</Pages>
  <Words>970</Words>
  <Characters>5859</Characters>
  <Application>Microsoft Office Word</Application>
  <DocSecurity>0</DocSecurity>
  <Lines>48</Lines>
  <Paragraphs>13</Paragraphs>
  <ScaleCrop>false</ScaleCrop>
  <HeadingPairs>
    <vt:vector size="4" baseType="variant">
      <vt:variant>
        <vt:lpstr>Title</vt:lpstr>
      </vt:variant>
      <vt:variant>
        <vt:i4>1</vt:i4>
      </vt:variant>
      <vt:variant>
        <vt:lpstr>Contemporary Letter</vt:lpstr>
      </vt:variant>
      <vt:variant>
        <vt:i4>0</vt:i4>
      </vt:variant>
    </vt:vector>
  </HeadingPairs>
  <TitlesOfParts>
    <vt:vector size="1" baseType="lpstr">
      <vt:lpstr>Contemporary Letter</vt:lpstr>
    </vt:vector>
  </TitlesOfParts>
  <Company>Microsoft Corporation</Company>
  <LinksUpToDate>false</LinksUpToDate>
  <CharactersWithSpaces>6816</CharactersWithSpaces>
  <SharedDoc>false</SharedDoc>
  <HLinks>
    <vt:vector size="6" baseType="variant">
      <vt:variant>
        <vt:i4>1572905</vt:i4>
      </vt:variant>
      <vt:variant>
        <vt:i4>0</vt:i4>
      </vt:variant>
      <vt:variant>
        <vt:i4>0</vt:i4>
      </vt:variant>
      <vt:variant>
        <vt:i4>5</vt:i4>
      </vt:variant>
      <vt:variant>
        <vt:lpwstr>mailto:ctam@usa.net</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Contemporary Letter</dc:title>
  <dc:subject/>
  <dc:creator>Tony Vigue</dc:creator>
  <cp:keywords/>
  <dc:description/>
  <cp:lastModifiedBy>rsmith</cp:lastModifiedBy>
  <cp:revision>2</cp:revision>
  <cp:lastPrinted>2000-12-13T20:16:00Z</cp:lastPrinted>
  <dcterms:created xsi:type="dcterms:W3CDTF">2012-09-26T21:42:00Z</dcterms:created>
  <dcterms:modified xsi:type="dcterms:W3CDTF">2012-09-26T21:42:00Z</dcterms:modified>
</cp:coreProperties>
</file>